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R4-2014012</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2-13 Nov.,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Remaining issues in intra and inter-frequency measurements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7.1.6.10</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96-e, the following topic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6"/>
              <w:spacing w:after="200" w:line="276" w:lineRule="auto"/>
              <w:ind w:left="0" w:leftChars="0"/>
              <w:contextualSpacing/>
              <w:jc w:val="center"/>
            </w:pPr>
            <w:r>
              <w:drawing>
                <wp:inline distT="0" distB="0" distL="114300" distR="114300">
                  <wp:extent cx="3999230" cy="2049145"/>
                  <wp:effectExtent l="0" t="0" r="127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999230" cy="2049145"/>
                          </a:xfrm>
                          <a:prstGeom prst="rect">
                            <a:avLst/>
                          </a:prstGeom>
                          <a:noFill/>
                          <a:ln>
                            <a:noFill/>
                          </a:ln>
                        </pic:spPr>
                      </pic:pic>
                    </a:graphicData>
                  </a:graphic>
                </wp:inline>
              </w:drawing>
            </w:r>
          </w:p>
          <w:p>
            <w:pPr>
              <w:pStyle w:val="26"/>
              <w:spacing w:after="200" w:line="276" w:lineRule="auto"/>
              <w:ind w:left="0" w:leftChars="0"/>
              <w:contextualSpacing/>
              <w:jc w:val="center"/>
            </w:pPr>
          </w:p>
          <w:p>
            <w:pPr>
              <w:pStyle w:val="26"/>
              <w:spacing w:after="200" w:line="276" w:lineRule="auto"/>
              <w:ind w:left="0" w:leftChars="0"/>
              <w:contextualSpacing/>
              <w:jc w:val="center"/>
            </w:pPr>
            <w:r>
              <w:drawing>
                <wp:inline distT="0" distB="0" distL="114300" distR="114300">
                  <wp:extent cx="4324985" cy="1716405"/>
                  <wp:effectExtent l="0" t="0" r="18415"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324985" cy="1716405"/>
                          </a:xfrm>
                          <a:prstGeom prst="rect">
                            <a:avLst/>
                          </a:prstGeom>
                          <a:noFill/>
                          <a:ln>
                            <a:noFill/>
                          </a:ln>
                        </pic:spPr>
                      </pic:pic>
                    </a:graphicData>
                  </a:graphic>
                </wp:inline>
              </w:drawing>
            </w:r>
          </w:p>
          <w:p>
            <w:pPr>
              <w:pStyle w:val="26"/>
              <w:spacing w:after="200" w:line="276" w:lineRule="auto"/>
              <w:ind w:left="0" w:leftChars="0"/>
              <w:contextualSpacing/>
              <w:jc w:val="center"/>
              <w:rPr>
                <w:rFonts w:hint="eastAsia"/>
                <w:lang w:val="en-US" w:eastAsia="zh-CN"/>
              </w:rPr>
            </w:pPr>
            <w:r>
              <w:drawing>
                <wp:inline distT="0" distB="0" distL="114300" distR="114300">
                  <wp:extent cx="4709160" cy="2580640"/>
                  <wp:effectExtent l="0" t="0" r="15240" b="1016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4709160" cy="2580640"/>
                          </a:xfrm>
                          <a:prstGeom prst="rect">
                            <a:avLst/>
                          </a:prstGeom>
                          <a:noFill/>
                          <a:ln>
                            <a:noFill/>
                          </a:ln>
                        </pic:spPr>
                      </pic:pic>
                    </a:graphicData>
                  </a:graphic>
                </wp:inline>
              </w:drawing>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8"/>
        <w:jc w:val="both"/>
        <w:rPr>
          <w:rFonts w:hint="default" w:eastAsia="宋体"/>
          <w:lang w:val="en-US" w:eastAsia="zh-CN"/>
        </w:rPr>
      </w:pPr>
      <w:r>
        <w:t>2</w:t>
      </w:r>
      <w:r>
        <w:tab/>
      </w:r>
      <w:r>
        <w:rPr>
          <w:rFonts w:hint="eastAsia"/>
          <w:lang w:val="en-US" w:eastAsia="zh-CN"/>
        </w:rPr>
        <w:t>Discussions</w:t>
      </w:r>
    </w:p>
    <w:p>
      <w:pPr>
        <w:rPr>
          <w:rFonts w:hint="default" w:eastAsia="宋体"/>
          <w:sz w:val="22"/>
          <w:szCs w:val="22"/>
          <w:lang w:val="en-US" w:eastAsia="zh-CN"/>
        </w:rPr>
      </w:pPr>
      <w:r>
        <w:rPr>
          <w:rFonts w:hint="eastAsia" w:eastAsia="宋体"/>
          <w:sz w:val="22"/>
          <w:szCs w:val="22"/>
          <w:lang w:val="en-US" w:eastAsia="zh-CN"/>
        </w:rPr>
        <w:t>From the last meeting, companies wanted to confirm that if the definition of a cell being available should be that at least one SSB is available at the UE during the last 160 ms. Our opinion is that this definition is good enough. For one thing, SSBs are used for the UE to detect a cell, to synchronize to a cell, to conduct certain measurements and such, so SSB is a key RS to the UE. 160 ms is a rather long periodicity for SSB transmission and 160 ms is already used in several requirements in the specification TS 38.133 [2]. Thus, we think that such a definition can be confirmed and agreed by RAN4.</w:t>
      </w:r>
    </w:p>
    <w:p>
      <w:pPr>
        <w:pStyle w:val="36"/>
        <w:rPr>
          <w:rFonts w:hint="default"/>
          <w:b/>
          <w:bCs w:val="0"/>
          <w:lang w:val="en-US" w:eastAsia="zh-CN"/>
        </w:rPr>
      </w:pPr>
      <w:r>
        <w:rPr>
          <w:rFonts w:hint="eastAsia" w:eastAsia="宋体"/>
          <w:sz w:val="22"/>
          <w:szCs w:val="22"/>
          <w:lang w:val="en-US" w:eastAsia="zh-CN"/>
        </w:rPr>
        <w:t xml:space="preserve">Confirm the definition that </w:t>
      </w:r>
      <w:r>
        <w:rPr>
          <w:rFonts w:hint="eastAsia"/>
          <w:lang w:val="en-US" w:eastAsia="zh-CN"/>
        </w:rPr>
        <w:t>a reference cell is available at the UE provided at least one SSB is available at the UE during the last 160 ms; otherwise it is unavailable at the UE</w:t>
      </w:r>
      <w:r>
        <w:rPr>
          <w:rFonts w:hint="eastAsia"/>
          <w:b/>
          <w:bCs w:val="0"/>
          <w:sz w:val="22"/>
          <w:szCs w:val="22"/>
          <w:lang w:val="en-US" w:eastAsia="zh-CN"/>
        </w:rPr>
        <w:t>.</w:t>
      </w:r>
    </w:p>
    <w:p>
      <w:pPr>
        <w:rPr>
          <w:rFonts w:hint="eastAsia"/>
          <w:b w:val="0"/>
          <w:bCs/>
          <w:sz w:val="22"/>
          <w:szCs w:val="22"/>
          <w:lang w:val="en-US" w:eastAsia="zh-CN"/>
        </w:rPr>
      </w:pPr>
      <w:r>
        <w:rPr>
          <w:rFonts w:hint="eastAsia"/>
          <w:b w:val="0"/>
          <w:bCs/>
          <w:sz w:val="22"/>
          <w:szCs w:val="22"/>
          <w:lang w:val="en-US" w:eastAsia="zh-CN"/>
        </w:rPr>
        <w:t>Another problem is whether the RSSI measurement bandwidth is the LBT bandwidth. In our view the RSSI measurement result is an indicator of the channel occupancy, so we agree that the RSSI measurement bandwidth shall be the LBT bandwidth.</w:t>
      </w:r>
    </w:p>
    <w:p>
      <w:pPr>
        <w:pStyle w:val="36"/>
        <w:rPr>
          <w:rFonts w:hint="default"/>
          <w:b w:val="0"/>
          <w:bCs/>
          <w:sz w:val="22"/>
          <w:szCs w:val="22"/>
          <w:lang w:val="en-US" w:eastAsia="zh-CN"/>
        </w:rPr>
      </w:pPr>
      <w:r>
        <w:rPr>
          <w:rFonts w:hint="eastAsia"/>
          <w:b/>
          <w:bCs w:val="0"/>
          <w:sz w:val="22"/>
          <w:szCs w:val="22"/>
          <w:lang w:val="en-US" w:eastAsia="zh-CN"/>
        </w:rPr>
        <w:t>The RSSI measurement bandwidth shall be the LBT bandwidth.</w:t>
      </w:r>
    </w:p>
    <w:p>
      <w:pPr>
        <w:rPr>
          <w:rFonts w:hint="eastAsia"/>
          <w:b/>
          <w:bCs w:val="0"/>
          <w:sz w:val="22"/>
          <w:szCs w:val="22"/>
          <w:lang w:val="en-US" w:eastAsia="zh-CN"/>
        </w:rPr>
      </w:pPr>
    </w:p>
    <w:p>
      <w:pPr>
        <w:rPr>
          <w:rFonts w:hint="default"/>
          <w:b/>
          <w:bCs w:val="0"/>
          <w:sz w:val="22"/>
          <w:szCs w:val="22"/>
          <w:u w:val="single"/>
          <w:lang w:val="en-US" w:eastAsia="zh-CN"/>
        </w:rPr>
      </w:pPr>
      <w:r>
        <w:rPr>
          <w:rFonts w:hint="default"/>
          <w:b/>
          <w:bCs w:val="0"/>
          <w:sz w:val="22"/>
          <w:szCs w:val="22"/>
          <w:u w:val="single"/>
          <w:lang w:val="en-US" w:eastAsia="zh-CN"/>
        </w:rPr>
        <w:t>UE behavior when receiving the MAC CE deactivation command for semi-persistent CSI reporting, in case of UL LBT failure for sending the ACK</w:t>
      </w:r>
    </w:p>
    <w:p>
      <w:pPr>
        <w:rPr>
          <w:rFonts w:hint="eastAsia"/>
          <w:b w:val="0"/>
          <w:bCs/>
          <w:sz w:val="22"/>
          <w:szCs w:val="22"/>
          <w:lang w:val="en-US" w:eastAsia="zh-CN"/>
        </w:rPr>
      </w:pPr>
      <w:r>
        <w:rPr>
          <w:rFonts w:hint="eastAsia"/>
          <w:b w:val="0"/>
          <w:bCs/>
          <w:sz w:val="22"/>
          <w:szCs w:val="22"/>
          <w:lang w:val="en-US" w:eastAsia="zh-CN"/>
        </w:rPr>
        <w:t>This issue has been discussed for several meetings with an LS sent to RAN1. RAN1 discussed also this issue without a conclusion [2]. In RAN1, more options were explored. Here we list all the options:</w:t>
      </w:r>
    </w:p>
    <w:p>
      <w:pPr>
        <w:rPr>
          <w:lang w:eastAsia="zh-CN"/>
        </w:rPr>
      </w:pPr>
      <w:r>
        <w:rPr>
          <w:b/>
          <w:bCs/>
          <w:lang w:eastAsia="zh-CN"/>
        </w:rPr>
        <w:t>Option 1</w:t>
      </w:r>
      <w:r>
        <w:rPr>
          <w:rFonts w:hint="eastAsia"/>
          <w:lang w:val="en-US" w:eastAsia="zh-CN"/>
        </w:rPr>
        <w:t xml:space="preserve">: </w:t>
      </w:r>
      <w:r>
        <w:rPr>
          <w:lang w:eastAsia="zh-CN"/>
        </w:rPr>
        <w:t xml:space="preserve">If UE cannot transmit HARQ-ACK on MAC-CE deactivation due to UL CCA failure, UE continues to be in its previous state, i.e., it should measure and report L1-RSRP until it successfully transmits HARQ-ACK </w:t>
      </w:r>
    </w:p>
    <w:p>
      <w:pPr>
        <w:rPr>
          <w:lang w:eastAsia="zh-CN"/>
        </w:rPr>
      </w:pPr>
      <w:r>
        <w:rPr>
          <w:b/>
        </w:rPr>
        <w:t>Option 1bis</w:t>
      </w:r>
      <w:r>
        <w:rPr>
          <w:rFonts w:hint="eastAsia" w:eastAsia="宋体"/>
          <w:b/>
          <w:lang w:val="en-US" w:eastAsia="zh-CN"/>
        </w:rPr>
        <w:t xml:space="preserve">: </w:t>
      </w:r>
      <w:r>
        <w:rPr>
          <w:lang w:eastAsia="zh-CN"/>
        </w:rPr>
        <w:t xml:space="preserve">If UE cannot transmit HARQ-ACK on MAC-CE deactivation due to UL CCA failure, UE continues to be in its previous state, </w:t>
      </w:r>
      <w:r>
        <w:rPr>
          <w:bCs/>
        </w:rPr>
        <w:t xml:space="preserve">however it is up to UE implementation whether it continues measure and report L1-RSRP or report stale </w:t>
      </w:r>
      <w:r>
        <w:rPr>
          <w:lang w:eastAsia="zh-CN"/>
        </w:rPr>
        <w:t>L1-RSRP until it successfully transmits HARQ-ACK</w:t>
      </w:r>
    </w:p>
    <w:p>
      <w:pPr>
        <w:widowControl w:val="0"/>
        <w:jc w:val="both"/>
        <w:rPr>
          <w:lang w:eastAsia="zh-CN"/>
        </w:rPr>
      </w:pPr>
      <w:r>
        <w:rPr>
          <w:b/>
          <w:bCs/>
          <w:lang w:eastAsia="zh-CN"/>
        </w:rPr>
        <w:t>Option 2</w:t>
      </w:r>
      <w:r>
        <w:rPr>
          <w:lang w:eastAsia="zh-CN"/>
        </w:rPr>
        <w:t xml:space="preserve">: For semi-persistent 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 </w:t>
      </w:r>
    </w:p>
    <w:p>
      <w:pPr>
        <w:rPr>
          <w:lang w:eastAsia="zh-CN"/>
        </w:rPr>
      </w:pPr>
      <w:r>
        <w:rPr>
          <w:b/>
          <w:bCs/>
          <w:lang w:eastAsia="zh-CN"/>
        </w:rPr>
        <w:t>Option 3</w:t>
      </w:r>
      <w:r>
        <w:rPr>
          <w:lang w:eastAsia="zh-CN"/>
        </w:rPr>
        <w:t>: 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p>
      <w:r>
        <w:rPr>
          <w:b/>
          <w:bCs/>
        </w:rPr>
        <w:t>Option 4</w:t>
      </w:r>
      <w:r>
        <w:rPr>
          <w:rFonts w:hint="eastAsia" w:eastAsia="宋体"/>
          <w:b/>
          <w:bCs/>
          <w:lang w:val="en-US" w:eastAsia="zh-CN"/>
        </w:rPr>
        <w:t xml:space="preserve">: </w:t>
      </w:r>
      <w:r>
        <w:t>For semi-persistent CSI reporting with PUCCH, if UE cannot transmit HARQ-ACK on the MAC CE deactivation due to the UL LBT failure, the UE performs deactivation at the original MAC action time.</w:t>
      </w:r>
    </w:p>
    <w:p>
      <w:pPr>
        <w:rPr>
          <w:rFonts w:hint="eastAsia" w:eastAsia="宋体"/>
          <w:sz w:val="22"/>
          <w:szCs w:val="22"/>
          <w:lang w:val="en-US" w:eastAsia="zh-CN"/>
        </w:rPr>
      </w:pPr>
      <w:r>
        <w:rPr>
          <w:rFonts w:hint="eastAsia" w:eastAsia="宋体"/>
          <w:sz w:val="22"/>
          <w:szCs w:val="22"/>
          <w:lang w:val="en-US" w:eastAsia="zh-CN"/>
        </w:rPr>
        <w:t>Our view is that Option 1 avoids mismatch between gNB and the UE and is thus preferred. For the other options, mismatch between the network and the UE might exist and thus cause confusion on the network side, which decreases the efficiency of the network on scheduling. During RAN4 96-e, companies mentioned that in RAN1 spec, TS 38.214 [3] namely, it says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43" w:type="dxa"/>
          </w:tcPr>
          <w:p>
            <w:pPr>
              <w:rPr>
                <w:rFonts w:hint="default" w:eastAsia="宋体"/>
                <w:sz w:val="22"/>
                <w:szCs w:val="22"/>
                <w:vertAlign w:val="baseline"/>
                <w:lang w:val="en-US" w:eastAsia="zh-CN"/>
              </w:rPr>
            </w:pPr>
            <w:r>
              <w:rPr>
                <w:rStyle w:val="21"/>
                <w:rFonts w:hint="default" w:ascii="Times New Roman" w:hAnsi="Times New Roman" w:eastAsia="宋体" w:cs="Times New Roman"/>
                <w:b w:val="0"/>
                <w:caps w:val="0"/>
                <w:color w:val="000000"/>
                <w:spacing w:val="0"/>
                <w:sz w:val="21"/>
                <w:szCs w:val="21"/>
                <w:shd w:val="clear" w:fill="FFFFFF"/>
              </w:rPr>
              <w:t>when the UE would transmit a PUCCH with HARQ-ACK information in slot n corresponding to the PDSCH carrying the deactivation command, the corresponding actions in [10, TS 38.321] and UE assumption on cessation of CSI-RS/CSI-IM transmission corresponding to the deactivated CSI-RS/CSI-IM resource set(s) shall apply starting from the first slot that is after slot</w:t>
            </w:r>
            <w:r>
              <w:rPr>
                <w:rFonts w:hint="default" w:ascii="Times New Roman" w:hAnsi="Times New Roman" w:eastAsia="宋体" w:cs="Times New Roman"/>
                <w:b w:val="0"/>
                <w:caps w:val="0"/>
                <w:color w:val="000000"/>
                <w:spacing w:val="0"/>
                <w:sz w:val="21"/>
                <w:szCs w:val="21"/>
                <w:shd w:val="clear" w:fill="FFFFFF"/>
              </w:rPr>
              <w:t> </w:t>
            </w:r>
            <w:r>
              <w:rPr>
                <w:rFonts w:hint="default" w:ascii="Times New Roman" w:hAnsi="Times New Roman" w:eastAsia="宋体" w:cs="Times New Roman"/>
                <w:b w:val="0"/>
                <w:i w:val="0"/>
                <w:caps w:val="0"/>
                <w:color w:val="000000"/>
                <w:spacing w:val="0"/>
                <w:sz w:val="21"/>
                <w:szCs w:val="21"/>
                <w:bdr w:val="none" w:color="auto" w:sz="0" w:space="0"/>
                <w:shd w:val="clear" w:fill="FFFFFF"/>
              </w:rPr>
              <w:drawing>
                <wp:inline distT="0" distB="0" distL="114300" distR="114300">
                  <wp:extent cx="857250" cy="219075"/>
                  <wp:effectExtent l="0" t="0" r="0" b="9525"/>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7"/>
                          <a:stretch>
                            <a:fillRect/>
                          </a:stretch>
                        </pic:blipFill>
                        <pic:spPr>
                          <a:xfrm>
                            <a:off x="0" y="0"/>
                            <a:ext cx="857250" cy="219075"/>
                          </a:xfrm>
                          <a:prstGeom prst="rect">
                            <a:avLst/>
                          </a:prstGeom>
                          <a:noFill/>
                          <a:ln w="9525">
                            <a:noFill/>
                          </a:ln>
                        </pic:spPr>
                      </pic:pic>
                    </a:graphicData>
                  </a:graphic>
                </wp:inline>
              </w:drawing>
            </w:r>
            <w:r>
              <w:rPr>
                <w:rStyle w:val="21"/>
                <w:rFonts w:ascii="Cambria Math" w:hAnsi="Cambria Math" w:eastAsia="Cambria Math" w:cs="Cambria Math"/>
                <w:b w:val="0"/>
                <w:caps w:val="0"/>
                <w:color w:val="000000"/>
                <w:spacing w:val="0"/>
                <w:sz w:val="21"/>
                <w:szCs w:val="21"/>
                <w:shd w:val="clear" w:fill="FFFFFF"/>
              </w:rPr>
              <w:t> </w:t>
            </w:r>
            <w:r>
              <w:rPr>
                <w:rStyle w:val="21"/>
                <w:rFonts w:hint="default" w:ascii="Times New Roman" w:hAnsi="Times New Roman" w:eastAsia="宋体" w:cs="Times New Roman"/>
                <w:b w:val="0"/>
                <w:caps w:val="0"/>
                <w:color w:val="000000"/>
                <w:spacing w:val="0"/>
                <w:sz w:val="21"/>
                <w:szCs w:val="21"/>
                <w:shd w:val="clear" w:fill="FFFFFF"/>
              </w:rPr>
              <w:t>where</w:t>
            </w:r>
            <w:r>
              <w:rPr>
                <w:rStyle w:val="21"/>
                <w:rFonts w:hint="default" w:ascii="Cambria Math" w:hAnsi="Cambria Math" w:eastAsia="Cambria Math" w:cs="Cambria Math"/>
                <w:b w:val="0"/>
                <w:caps w:val="0"/>
                <w:color w:val="000000"/>
                <w:spacing w:val="0"/>
                <w:sz w:val="21"/>
                <w:szCs w:val="21"/>
                <w:shd w:val="clear" w:fill="FFFFFF"/>
              </w:rPr>
              <w:t> </w:t>
            </w:r>
            <w:r>
              <w:rPr>
                <w:rStyle w:val="21"/>
                <w:rFonts w:ascii="Symbol" w:hAnsi="Symbol" w:eastAsia="宋体" w:cs="Symbol"/>
                <w:b w:val="0"/>
                <w:caps w:val="0"/>
                <w:color w:val="000000"/>
                <w:spacing w:val="0"/>
                <w:sz w:val="21"/>
                <w:szCs w:val="21"/>
                <w:shd w:val="clear" w:fill="FFFFFF"/>
              </w:rPr>
              <w:t>m</w:t>
            </w:r>
            <w:r>
              <w:rPr>
                <w:rStyle w:val="21"/>
                <w:rFonts w:hint="default" w:ascii="Cambria Math" w:hAnsi="Cambria Math" w:eastAsia="Cambria Math" w:cs="Cambria Math"/>
                <w:b w:val="0"/>
                <w:caps w:val="0"/>
                <w:color w:val="000000"/>
                <w:spacing w:val="0"/>
                <w:sz w:val="21"/>
                <w:szCs w:val="21"/>
                <w:shd w:val="clear" w:fill="FFFFFF"/>
              </w:rPr>
              <w:t> </w:t>
            </w:r>
            <w:r>
              <w:rPr>
                <w:rStyle w:val="21"/>
                <w:rFonts w:hint="default" w:ascii="Times New Roman" w:hAnsi="Times New Roman" w:eastAsia="宋体" w:cs="Times New Roman"/>
                <w:b w:val="0"/>
                <w:caps w:val="0"/>
                <w:color w:val="000000"/>
                <w:spacing w:val="0"/>
                <w:sz w:val="21"/>
                <w:szCs w:val="21"/>
                <w:shd w:val="clear" w:fill="FFFFFF"/>
              </w:rPr>
              <w:t>is</w:t>
            </w:r>
            <w:r>
              <w:rPr>
                <w:rStyle w:val="21"/>
                <w:rFonts w:hint="default" w:ascii="Cambria Math" w:hAnsi="Cambria Math" w:eastAsia="Cambria Math" w:cs="Cambria Math"/>
                <w:b w:val="0"/>
                <w:caps w:val="0"/>
                <w:color w:val="000000"/>
                <w:spacing w:val="0"/>
                <w:sz w:val="21"/>
                <w:szCs w:val="21"/>
                <w:shd w:val="clear" w:fill="FFFFFF"/>
              </w:rPr>
              <w:t> </w:t>
            </w:r>
            <w:r>
              <w:rPr>
                <w:rStyle w:val="21"/>
                <w:rFonts w:hint="default" w:ascii="Times New Roman" w:hAnsi="Times New Roman" w:eastAsia="宋体" w:cs="Times New Roman"/>
                <w:b w:val="0"/>
                <w:caps w:val="0"/>
                <w:color w:val="000000"/>
                <w:spacing w:val="0"/>
                <w:sz w:val="21"/>
                <w:szCs w:val="21"/>
                <w:shd w:val="clear" w:fill="FFFFFF"/>
              </w:rPr>
              <w:t>the</w:t>
            </w:r>
            <w:r>
              <w:rPr>
                <w:rStyle w:val="21"/>
                <w:rFonts w:hint="default" w:ascii="Cambria Math" w:hAnsi="Cambria Math" w:eastAsia="Cambria Math" w:cs="Cambria Math"/>
                <w:b w:val="0"/>
                <w:caps w:val="0"/>
                <w:color w:val="000000"/>
                <w:spacing w:val="0"/>
                <w:sz w:val="21"/>
                <w:szCs w:val="21"/>
                <w:shd w:val="clear" w:fill="FFFFFF"/>
              </w:rPr>
              <w:t> </w:t>
            </w:r>
            <w:r>
              <w:rPr>
                <w:rStyle w:val="21"/>
                <w:rFonts w:hint="default" w:ascii="Times New Roman" w:hAnsi="Times New Roman" w:eastAsia="宋体" w:cs="Times New Roman"/>
                <w:b w:val="0"/>
                <w:caps w:val="0"/>
                <w:color w:val="000000"/>
                <w:spacing w:val="0"/>
                <w:sz w:val="21"/>
                <w:szCs w:val="21"/>
                <w:shd w:val="clear" w:fill="FFFFFF"/>
              </w:rPr>
              <w:t>SCS</w:t>
            </w:r>
            <w:r>
              <w:rPr>
                <w:rStyle w:val="21"/>
                <w:rFonts w:hint="default" w:ascii="Cambria Math" w:hAnsi="Cambria Math" w:eastAsia="Cambria Math" w:cs="Cambria Math"/>
                <w:b w:val="0"/>
                <w:caps w:val="0"/>
                <w:color w:val="000000"/>
                <w:spacing w:val="0"/>
                <w:sz w:val="21"/>
                <w:szCs w:val="21"/>
                <w:shd w:val="clear" w:fill="FFFFFF"/>
              </w:rPr>
              <w:t> </w:t>
            </w:r>
            <w:r>
              <w:rPr>
                <w:rStyle w:val="21"/>
                <w:rFonts w:hint="default" w:ascii="Times New Roman" w:hAnsi="Times New Roman" w:eastAsia="宋体" w:cs="Times New Roman"/>
                <w:b w:val="0"/>
                <w:caps w:val="0"/>
                <w:color w:val="000000"/>
                <w:spacing w:val="0"/>
                <w:sz w:val="21"/>
                <w:szCs w:val="21"/>
                <w:shd w:val="clear" w:fill="FFFFFF"/>
              </w:rPr>
              <w:t>configuration</w:t>
            </w:r>
            <w:r>
              <w:rPr>
                <w:rStyle w:val="21"/>
                <w:rFonts w:hint="default" w:ascii="Cambria Math" w:hAnsi="Cambria Math" w:eastAsia="Cambria Math" w:cs="Cambria Math"/>
                <w:b w:val="0"/>
                <w:caps w:val="0"/>
                <w:color w:val="000000"/>
                <w:spacing w:val="0"/>
                <w:sz w:val="21"/>
                <w:szCs w:val="21"/>
                <w:shd w:val="clear" w:fill="FFFFFF"/>
              </w:rPr>
              <w:t> </w:t>
            </w:r>
            <w:r>
              <w:rPr>
                <w:rStyle w:val="21"/>
                <w:rFonts w:hint="default" w:ascii="Times New Roman" w:hAnsi="Times New Roman" w:eastAsia="宋体" w:cs="Times New Roman"/>
                <w:b w:val="0"/>
                <w:caps w:val="0"/>
                <w:color w:val="000000"/>
                <w:spacing w:val="0"/>
                <w:sz w:val="21"/>
                <w:szCs w:val="21"/>
                <w:shd w:val="clear" w:fill="FFFFFF"/>
              </w:rPr>
              <w:t>for</w:t>
            </w:r>
            <w:r>
              <w:rPr>
                <w:rStyle w:val="21"/>
                <w:rFonts w:hint="default" w:ascii="Cambria Math" w:hAnsi="Cambria Math" w:eastAsia="Cambria Math" w:cs="Cambria Math"/>
                <w:b w:val="0"/>
                <w:caps w:val="0"/>
                <w:color w:val="000000"/>
                <w:spacing w:val="0"/>
                <w:sz w:val="21"/>
                <w:szCs w:val="21"/>
                <w:shd w:val="clear" w:fill="FFFFFF"/>
              </w:rPr>
              <w:t> </w:t>
            </w:r>
            <w:r>
              <w:rPr>
                <w:rStyle w:val="21"/>
                <w:rFonts w:hint="default" w:ascii="Times New Roman" w:hAnsi="Times New Roman" w:eastAsia="宋体" w:cs="Times New Roman"/>
                <w:b w:val="0"/>
                <w:caps w:val="0"/>
                <w:color w:val="000000"/>
                <w:spacing w:val="0"/>
                <w:sz w:val="21"/>
                <w:szCs w:val="21"/>
                <w:shd w:val="clear" w:fill="FFFFFF"/>
              </w:rPr>
              <w:t>the</w:t>
            </w:r>
            <w:r>
              <w:rPr>
                <w:rStyle w:val="21"/>
                <w:rFonts w:hint="default" w:ascii="Cambria Math" w:hAnsi="Cambria Math" w:eastAsia="Cambria Math" w:cs="Cambria Math"/>
                <w:b w:val="0"/>
                <w:caps w:val="0"/>
                <w:color w:val="000000"/>
                <w:spacing w:val="0"/>
                <w:sz w:val="21"/>
                <w:szCs w:val="21"/>
                <w:shd w:val="clear" w:fill="FFFFFF"/>
              </w:rPr>
              <w:t> </w:t>
            </w:r>
            <w:r>
              <w:rPr>
                <w:rStyle w:val="21"/>
                <w:rFonts w:hint="default" w:ascii="Times New Roman" w:hAnsi="Times New Roman" w:eastAsia="宋体" w:cs="Times New Roman"/>
                <w:b w:val="0"/>
                <w:caps w:val="0"/>
                <w:color w:val="000000"/>
                <w:spacing w:val="0"/>
                <w:sz w:val="21"/>
                <w:szCs w:val="21"/>
                <w:shd w:val="clear" w:fill="FFFFFF"/>
              </w:rPr>
              <w:t>PUCCH</w:t>
            </w:r>
            <w:r>
              <w:rPr>
                <w:rStyle w:val="21"/>
                <w:rFonts w:hint="default" w:ascii="Cambria Math" w:hAnsi="Cambria Math" w:eastAsia="Cambria Math" w:cs="Cambria Math"/>
                <w:b w:val="0"/>
                <w:caps w:val="0"/>
                <w:color w:val="000000"/>
                <w:spacing w:val="0"/>
                <w:sz w:val="21"/>
                <w:szCs w:val="21"/>
                <w:shd w:val="clear" w:fill="FFFFFF"/>
              </w:rPr>
              <w:t>.</w:t>
            </w:r>
          </w:p>
        </w:tc>
      </w:tr>
    </w:tbl>
    <w:p>
      <w:pPr>
        <w:rPr>
          <w:rFonts w:hint="eastAsia" w:eastAsia="宋体"/>
          <w:sz w:val="22"/>
          <w:szCs w:val="22"/>
          <w:lang w:val="en-US" w:eastAsia="zh-CN"/>
        </w:rPr>
      </w:pPr>
      <w:r>
        <w:rPr>
          <w:rFonts w:hint="eastAsia" w:eastAsia="宋体"/>
          <w:sz w:val="22"/>
          <w:szCs w:val="22"/>
          <w:lang w:val="en-US" w:eastAsia="zh-CN"/>
        </w:rPr>
        <w:t>We think that it</w:t>
      </w:r>
      <w:r>
        <w:rPr>
          <w:rFonts w:hint="default" w:eastAsia="宋体"/>
          <w:sz w:val="22"/>
          <w:szCs w:val="22"/>
          <w:lang w:val="en-US" w:eastAsia="zh-CN"/>
        </w:rPr>
        <w:t>’</w:t>
      </w:r>
      <w:r>
        <w:rPr>
          <w:rFonts w:hint="eastAsia" w:eastAsia="宋体"/>
          <w:sz w:val="22"/>
          <w:szCs w:val="22"/>
          <w:lang w:val="en-US" w:eastAsia="zh-CN"/>
        </w:rPr>
        <w:t>s unclear whether this applies to NR-U or not. Since no response LS is received from RAN1, we should not assume that the content above applies to NR-U case.</w:t>
      </w:r>
    </w:p>
    <w:p>
      <w:pPr>
        <w:pStyle w:val="36"/>
        <w:rPr>
          <w:rFonts w:hint="default" w:eastAsia="宋体"/>
          <w:sz w:val="22"/>
          <w:szCs w:val="22"/>
          <w:lang w:val="en-US" w:eastAsia="zh-CN"/>
        </w:rPr>
      </w:pPr>
      <w:r>
        <w:rPr>
          <w:lang w:eastAsia="zh-CN"/>
        </w:rPr>
        <w:t>If UE cannot transmit HARQ-ACK on MAC-CE deactivation due to UL CCA failure, UE continues to be in its previous state, i.e., it should measure and report L1-RSRP until it successfully transmits HARQ-ACK</w:t>
      </w:r>
      <w:r>
        <w:rPr>
          <w:rFonts w:hint="eastAsia"/>
          <w:b/>
          <w:bCs w:val="0"/>
          <w:sz w:val="22"/>
          <w:szCs w:val="22"/>
          <w:lang w:val="en-US" w:eastAsia="zh-CN"/>
        </w:rPr>
        <w:t>.</w:t>
      </w:r>
    </w:p>
    <w:p>
      <w:pPr>
        <w:pStyle w:val="28"/>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 xml:space="preserve">Confirm the definition that </w:t>
      </w:r>
      <w:r>
        <w:rPr>
          <w:rFonts w:hint="eastAsia"/>
          <w:b/>
          <w:bCs/>
          <w:lang w:val="en-US" w:eastAsia="zh-CN"/>
        </w:rPr>
        <w:t>a reference cell is available at the UE provided at least one SSB is available at the UE during the last 160 ms; otherwise it is unavailable at the UE</w:t>
      </w:r>
      <w:r>
        <w:rPr>
          <w:rFonts w:hint="eastAsia"/>
          <w:b/>
          <w:bCs w:val="0"/>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Proposal 2: The RSSI measurement bandwidth shall be the LBT bandwidth.</w:t>
      </w:r>
    </w:p>
    <w:p>
      <w:pPr>
        <w:rPr>
          <w:rFonts w:hint="default"/>
          <w:b/>
          <w:bCs w:val="0"/>
          <w:sz w:val="22"/>
          <w:szCs w:val="22"/>
          <w:lang w:val="en-US" w:eastAsia="zh-CN"/>
        </w:rPr>
      </w:pPr>
      <w:r>
        <w:rPr>
          <w:rFonts w:hint="eastAsia"/>
          <w:b/>
          <w:bCs w:val="0"/>
          <w:sz w:val="22"/>
          <w:szCs w:val="22"/>
          <w:lang w:val="en-US" w:eastAsia="zh-CN"/>
        </w:rPr>
        <w:t xml:space="preserve">Proposal 3: </w:t>
      </w:r>
      <w:r>
        <w:rPr>
          <w:b/>
          <w:bCs/>
          <w:lang w:eastAsia="zh-CN"/>
        </w:rPr>
        <w:t>If UE cannot transmit HARQ-ACK on MAC-CE deactivation due to UL CCA failure, UE continues to be in its previous state, i.e., it should measure and report L1-RSRP until it successfully transmits HARQ-ACK</w:t>
      </w:r>
      <w:r>
        <w:rPr>
          <w:rFonts w:hint="eastAsia"/>
          <w:b/>
          <w:bCs/>
          <w:lang w:val="en-US" w:eastAsia="zh-CN"/>
        </w:rPr>
        <w:t>.</w:t>
      </w:r>
    </w:p>
    <w:p>
      <w:pPr>
        <w:pStyle w:val="28"/>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 xml:space="preserve"> R4-2012293</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R1-2007260</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TS 38.214</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7A379D"/>
    <w:rsid w:val="039A1BDA"/>
    <w:rsid w:val="03AE4991"/>
    <w:rsid w:val="03C6506D"/>
    <w:rsid w:val="03F37217"/>
    <w:rsid w:val="04AE2879"/>
    <w:rsid w:val="04C77D0A"/>
    <w:rsid w:val="04D5204C"/>
    <w:rsid w:val="051F0641"/>
    <w:rsid w:val="052430F2"/>
    <w:rsid w:val="059B61E4"/>
    <w:rsid w:val="05A86143"/>
    <w:rsid w:val="05D42FA6"/>
    <w:rsid w:val="06105DAC"/>
    <w:rsid w:val="066957D5"/>
    <w:rsid w:val="068A29F7"/>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B77882"/>
    <w:rsid w:val="0C2A1653"/>
    <w:rsid w:val="0C3C5307"/>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8E7758F"/>
    <w:rsid w:val="19831412"/>
    <w:rsid w:val="199B5421"/>
    <w:rsid w:val="19A96435"/>
    <w:rsid w:val="19E43A3D"/>
    <w:rsid w:val="1A0B3A21"/>
    <w:rsid w:val="1A352FE3"/>
    <w:rsid w:val="1B3329B5"/>
    <w:rsid w:val="1B595D85"/>
    <w:rsid w:val="1B7F155B"/>
    <w:rsid w:val="1BAE2A00"/>
    <w:rsid w:val="1C525206"/>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3FF1EED"/>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BE3E7B"/>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6B6F88"/>
    <w:rsid w:val="3AC125B3"/>
    <w:rsid w:val="3AF216E5"/>
    <w:rsid w:val="3B0B15C3"/>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736B6F"/>
    <w:rsid w:val="4E9105E7"/>
    <w:rsid w:val="4EB053BD"/>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967B7"/>
    <w:rsid w:val="5A194DBF"/>
    <w:rsid w:val="5A3078C5"/>
    <w:rsid w:val="5ADF3A74"/>
    <w:rsid w:val="5AE53367"/>
    <w:rsid w:val="5B0B0083"/>
    <w:rsid w:val="5B3565C2"/>
    <w:rsid w:val="5BC3228B"/>
    <w:rsid w:val="5BFC28DA"/>
    <w:rsid w:val="5C3B1FEA"/>
    <w:rsid w:val="5C6A01BF"/>
    <w:rsid w:val="5CE80244"/>
    <w:rsid w:val="5CEB6783"/>
    <w:rsid w:val="5D041ECD"/>
    <w:rsid w:val="5D5E1AC8"/>
    <w:rsid w:val="5E051414"/>
    <w:rsid w:val="5E0567D7"/>
    <w:rsid w:val="5E206741"/>
    <w:rsid w:val="5E2D4C21"/>
    <w:rsid w:val="5E820037"/>
    <w:rsid w:val="5ED22EFF"/>
    <w:rsid w:val="5EE41E2E"/>
    <w:rsid w:val="5F0F00DA"/>
    <w:rsid w:val="5F3C6FC1"/>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D86F23"/>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6F7E91"/>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C93578"/>
    <w:rsid w:val="72847DC4"/>
    <w:rsid w:val="72867A39"/>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9"/>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Emphasis"/>
    <w:basedOn w:val="19"/>
    <w:qFormat/>
    <w:uiPriority w:val="20"/>
    <w:rPr>
      <w:i/>
    </w:rPr>
  </w:style>
  <w:style w:type="character" w:styleId="22">
    <w:name w:val="Hyperlink"/>
    <w:basedOn w:val="19"/>
    <w:unhideWhenUsed/>
    <w:qFormat/>
    <w:uiPriority w:val="99"/>
    <w:rPr>
      <w:color w:val="0563C1" w:themeColor="hyperlink"/>
      <w:u w:val="single"/>
      <w14:textFill>
        <w14:solidFill>
          <w14:schemeClr w14:val="hlink"/>
        </w14:solidFill>
      </w14:textFill>
    </w:rPr>
  </w:style>
  <w:style w:type="character" w:styleId="23">
    <w:name w:val="annotation reference"/>
    <w:basedOn w:val="19"/>
    <w:semiHidden/>
    <w:unhideWhenUsed/>
    <w:qFormat/>
    <w:uiPriority w:val="99"/>
    <w:rPr>
      <w:sz w:val="16"/>
      <w:szCs w:val="16"/>
    </w:rPr>
  </w:style>
  <w:style w:type="character" w:customStyle="1" w:styleId="24">
    <w:name w:val="Heading 2 Char"/>
    <w:basedOn w:val="19"/>
    <w:link w:val="3"/>
    <w:qFormat/>
    <w:uiPriority w:val="0"/>
    <w:rPr>
      <w:rFonts w:ascii="Arial" w:hAnsi="Arial" w:eastAsia="Times New Roman" w:cs="Times New Roman"/>
      <w:sz w:val="32"/>
      <w:szCs w:val="20"/>
      <w:lang w:val="en-GB"/>
    </w:rPr>
  </w:style>
  <w:style w:type="character" w:customStyle="1" w:styleId="25">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9"/>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19"/>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19"/>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19"/>
    <w:semiHidden/>
    <w:unhideWhenUsed/>
    <w:qFormat/>
    <w:uiPriority w:val="99"/>
    <w:rPr>
      <w:color w:val="808080"/>
      <w:shd w:val="clear" w:color="auto" w:fill="E6E6E6"/>
    </w:rPr>
  </w:style>
  <w:style w:type="character" w:customStyle="1" w:styleId="43">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19"/>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19"/>
    <w:link w:val="12"/>
    <w:semiHidden/>
    <w:qFormat/>
    <w:locked/>
    <w:uiPriority w:val="0"/>
    <w:rPr>
      <w:rFonts w:ascii="Tms Rmn" w:hAnsi="Tms Rmn"/>
      <w:b/>
      <w:sz w:val="18"/>
    </w:rPr>
  </w:style>
  <w:style w:type="character" w:customStyle="1" w:styleId="54">
    <w:name w:val="Header Char1"/>
    <w:basedOn w:val="19"/>
    <w:semiHidden/>
    <w:qFormat/>
    <w:uiPriority w:val="99"/>
    <w:rPr>
      <w:rFonts w:ascii="Times New Roman" w:hAnsi="Times New Roman"/>
      <w:sz w:val="20"/>
    </w:rPr>
  </w:style>
  <w:style w:type="character" w:customStyle="1" w:styleId="55">
    <w:name w:val="Balloon Text Char"/>
    <w:basedOn w:val="19"/>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19"/>
    <w:link w:val="7"/>
    <w:semiHidden/>
    <w:qFormat/>
    <w:uiPriority w:val="99"/>
    <w:rPr>
      <w:rFonts w:ascii="Times New Roman" w:hAnsi="Times New Roman"/>
      <w:sz w:val="20"/>
      <w:szCs w:val="20"/>
    </w:rPr>
  </w:style>
  <w:style w:type="character" w:customStyle="1" w:styleId="59">
    <w:name w:val="Comment Subject Char"/>
    <w:basedOn w:val="58"/>
    <w:link w:val="16"/>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2020-10-19T11:48:47Z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